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AA" w:rsidRPr="006926AA" w:rsidRDefault="006926AA" w:rsidP="006926AA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ANÁLISE FITOQUÍMICA, ATIVIDADES CITOTÓXICA E ANTIBACTERIANA DA CASCA DE </w:t>
      </w:r>
      <w:proofErr w:type="spellStart"/>
      <w:r w:rsidRPr="006926A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Apodanthera</w:t>
      </w:r>
      <w:proofErr w:type="spellEnd"/>
      <w:r w:rsidRPr="006926A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smilacifolia</w:t>
      </w:r>
      <w:proofErr w:type="spellEnd"/>
      <w:r w:rsidRPr="006926A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6926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Cong. (CIPÓ-AZOUGUE)</w:t>
      </w:r>
    </w:p>
    <w:p w:rsidR="006926AA" w:rsidRPr="006926AA" w:rsidRDefault="006926AA" w:rsidP="006926AA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PHYTOCHEMICAL ANALYSIS, CITOTOXIC AND ANTIBACTERIAL ACTIVITIES OF THE BARK OF </w:t>
      </w:r>
      <w:proofErr w:type="spellStart"/>
      <w:r w:rsidRPr="006926A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Apodanthera</w:t>
      </w:r>
      <w:proofErr w:type="spellEnd"/>
      <w:r w:rsidRPr="006926A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smilacafiaia</w:t>
      </w:r>
      <w:proofErr w:type="spellEnd"/>
      <w:r w:rsidRPr="006926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Cong. (CIPÓ-AZOUGUE)</w:t>
      </w:r>
      <w:bookmarkStart w:id="0" w:name="_GoBack"/>
      <w:bookmarkEnd w:id="0"/>
    </w:p>
    <w:p w:rsidR="006926AA" w:rsidRPr="006926AA" w:rsidRDefault="006926AA" w:rsidP="00692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Valeria Ferreira¹, Anna Luiza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Simioni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Ferrari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2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Camila Cabral Vidal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2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Karine Amanda </w:t>
      </w:r>
      <w:proofErr w:type="gram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Costa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2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Rafael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Binow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Schmidt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2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Jeferson de Oliveira Salvi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3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926AA" w:rsidRPr="006926AA" w:rsidRDefault="006926AA" w:rsidP="006926AA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Acadêmica do curso de Biomedicina do Centro Universitário Luterano de Ji-Paraná (CEULJI/ULBRA). </w:t>
      </w:r>
      <w:hyperlink r:id="rId7" w:history="1">
        <w:r w:rsidRPr="00692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valeriaferreirabiomed@hotmail.com</w:t>
        </w:r>
      </w:hyperlink>
    </w:p>
    <w:p w:rsidR="006926AA" w:rsidRPr="006926AA" w:rsidRDefault="006926AA" w:rsidP="006926AA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Acadêmicos do curso de Farmácia do Centro Universitário Luterano de Ji-Paraná (CEULJI/ULBRA).</w:t>
      </w:r>
    </w:p>
    <w:p w:rsidR="006926AA" w:rsidRPr="006926AA" w:rsidRDefault="006926AA" w:rsidP="006926AA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Mestre em Biologia Celular e Molecular, Docente das disciplinas de Farmacologia e Toxicologia no CEULJI/ULBRA. </w:t>
      </w:r>
      <w:hyperlink r:id="rId8" w:history="1">
        <w:r w:rsidRPr="00692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jefersonsalvi@hotmail.com</w:t>
        </w:r>
      </w:hyperlink>
    </w:p>
    <w:p w:rsidR="006926AA" w:rsidRPr="006926AA" w:rsidRDefault="006926AA" w:rsidP="00692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6926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 Autor correspondente: </w:t>
      </w:r>
      <w:hyperlink r:id="rId9" w:history="1">
        <w:r w:rsidRPr="00692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valeriaferreirabiomed@hotmail.com</w:t>
        </w:r>
      </w:hyperlink>
    </w:p>
    <w:p w:rsidR="006926AA" w:rsidRPr="006926AA" w:rsidRDefault="006926AA" w:rsidP="006926AA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6926AA">
        <w:rPr>
          <w:rFonts w:ascii="Times New Roman" w:eastAsia="Calibri" w:hAnsi="Times New Roman" w:cs="Times New Roman"/>
          <w:b/>
          <w:sz w:val="24"/>
        </w:rPr>
        <w:t>RESUMO</w:t>
      </w:r>
    </w:p>
    <w:p w:rsidR="006926AA" w:rsidRPr="006926AA" w:rsidRDefault="006926AA" w:rsidP="006926AA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0"/>
        </w:rPr>
        <w:t>O presente estudo teve por objetivo realizar a prospecção fitoquímica e avaliar as atividades citotóxica e antimicrobiana das cascas de</w:t>
      </w:r>
      <w:r w:rsidRPr="006926AA">
        <w:rPr>
          <w:rFonts w:ascii="Times New Roman" w:eastAsia="Calibri" w:hAnsi="Times New Roman" w:cs="Times New Roman"/>
          <w:i/>
          <w:color w:val="000000"/>
          <w:sz w:val="24"/>
          <w:szCs w:val="20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  <w:color w:val="000000"/>
          <w:sz w:val="24"/>
          <w:szCs w:val="20"/>
        </w:rPr>
        <w:t>Apodanthera</w:t>
      </w:r>
      <w:proofErr w:type="spellEnd"/>
      <w:r w:rsidRPr="006926AA">
        <w:rPr>
          <w:rFonts w:ascii="Times New Roman" w:eastAsia="Calibri" w:hAnsi="Times New Roman" w:cs="Times New Roman"/>
          <w:i/>
          <w:color w:val="000000"/>
          <w:sz w:val="24"/>
          <w:szCs w:val="20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  <w:color w:val="000000"/>
          <w:sz w:val="24"/>
          <w:szCs w:val="20"/>
        </w:rPr>
        <w:t>smilacifolia</w:t>
      </w:r>
      <w:proofErr w:type="spellEnd"/>
      <w:r w:rsidRPr="006926AA">
        <w:rPr>
          <w:rFonts w:ascii="Times New Roman" w:eastAsia="Calibri" w:hAnsi="Times New Roman" w:cs="Times New Roman"/>
          <w:i/>
          <w:color w:val="000000"/>
          <w:sz w:val="24"/>
          <w:szCs w:val="20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  <w:color w:val="000000"/>
          <w:sz w:val="24"/>
          <w:szCs w:val="20"/>
        </w:rPr>
        <w:t>cong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(CIPÓ-AZOUGUE). </w:t>
      </w:r>
      <w:r w:rsidRPr="006926AA">
        <w:rPr>
          <w:rFonts w:ascii="Times New Roman" w:eastAsia="Calibri" w:hAnsi="Times New Roman" w:cs="Times New Roman"/>
          <w:sz w:val="24"/>
        </w:rPr>
        <w:t xml:space="preserve">A família </w:t>
      </w:r>
      <w:proofErr w:type="spellStart"/>
      <w:r w:rsidRPr="006926AA">
        <w:rPr>
          <w:rFonts w:ascii="Times New Roman" w:eastAsia="Calibri" w:hAnsi="Times New Roman" w:cs="Times New Roman"/>
          <w:i/>
          <w:sz w:val="24"/>
        </w:rPr>
        <w:t>Cucurbitaceae</w:t>
      </w:r>
      <w:proofErr w:type="spellEnd"/>
      <w:r w:rsidRPr="006926AA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  <w:sz w:val="24"/>
        </w:rPr>
        <w:t>Juss</w:t>
      </w:r>
      <w:proofErr w:type="spellEnd"/>
      <w:r w:rsidRPr="006926AA">
        <w:rPr>
          <w:rFonts w:ascii="Times New Roman" w:eastAsia="Calibri" w:hAnsi="Times New Roman" w:cs="Times New Roman"/>
          <w:sz w:val="24"/>
        </w:rPr>
        <w:t xml:space="preserve"> </w:t>
      </w:r>
      <w:r w:rsidRPr="006926AA">
        <w:rPr>
          <w:rFonts w:ascii="Times New Roman" w:eastAsia="Calibri" w:hAnsi="Times New Roman" w:cs="Times New Roman"/>
          <w:sz w:val="24"/>
          <w:szCs w:val="24"/>
        </w:rPr>
        <w:t>é numerosa e heterogênea, assim como muitos táxons vegetais, e apresenta informações distintas acerca de seus gêneros e espécies.</w:t>
      </w:r>
      <w:r w:rsidRPr="006926AA">
        <w:rPr>
          <w:rFonts w:ascii="Times New Roman" w:eastAsia="Calibri" w:hAnsi="Times New Roman" w:cs="Times New Roman"/>
          <w:sz w:val="24"/>
        </w:rPr>
        <w:t xml:space="preserve"> </w:t>
      </w:r>
      <w:r w:rsidRPr="006926AA">
        <w:rPr>
          <w:rFonts w:ascii="Times New Roman" w:eastAsia="Calibri" w:hAnsi="Times New Roman" w:cs="Times New Roman"/>
          <w:sz w:val="24"/>
          <w:szCs w:val="24"/>
        </w:rPr>
        <w:t>Embora sua morfologia seja bastante diversificada, são facilmente reconhecidas pelo hábito trepador</w:t>
      </w:r>
      <w:r w:rsidRPr="006926AA">
        <w:rPr>
          <w:rFonts w:ascii="Times New Roman" w:eastAsia="Calibri" w:hAnsi="Times New Roman" w:cs="Times New Roman"/>
          <w:sz w:val="24"/>
        </w:rPr>
        <w:t>.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Alguns autores relatam aproximadamente 95 gêneros e um número estimado entre 950 e 980 de espécies distribuídas principalmente nas regiões tropicais e subtropicais do mundo, sendo raras em regiões temperadas</w:t>
      </w:r>
      <w:r w:rsidRPr="006926AA">
        <w:rPr>
          <w:rFonts w:ascii="Times New Roman" w:eastAsia="Calibri" w:hAnsi="Times New Roman" w:cs="Times New Roman"/>
          <w:sz w:val="24"/>
        </w:rPr>
        <w:t xml:space="preserve">. A espécie 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é popularmente conhecida como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Cipo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́ Azougue, </w:t>
      </w: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Cipó-santo, Catingueira, Chá-de-boubas e </w:t>
      </w:r>
      <w:r w:rsidRPr="006926AA">
        <w:rPr>
          <w:rFonts w:ascii="Times New Roman" w:eastAsia="Calibri" w:hAnsi="Times New Roman" w:cs="Times New Roman"/>
          <w:sz w:val="24"/>
          <w:szCs w:val="24"/>
        </w:rPr>
        <w:t>Cota, dentre outros</w:t>
      </w:r>
      <w:r w:rsidRPr="006926AA">
        <w:rPr>
          <w:rFonts w:ascii="Times New Roman" w:eastAsia="Calibri" w:hAnsi="Times New Roman" w:cs="Times New Roman"/>
          <w:sz w:val="24"/>
        </w:rPr>
        <w:t>. S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ão popularmente utilizados em tratamentos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infecçõ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es</w:t>
      </w:r>
      <w:proofErr w:type="spellEnd"/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cutâneas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caráter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sifilítico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úlcera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dérmica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, sarna, herpes</w:t>
      </w:r>
      <w:r w:rsidRPr="006926AA">
        <w:rPr>
          <w:rFonts w:ascii="Times New Roman" w:eastAsia="Calibri" w:hAnsi="Times New Roman" w:cs="Times New Roman"/>
          <w:sz w:val="24"/>
        </w:rPr>
        <w:t>.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26AA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A identificação de metabólitos secundários foi realizada por meio de testes colorimétricos validados, a citotoxicidade foi realizada pelo teste de letalidade frente à microcrustáceo </w:t>
      </w:r>
      <w:r w:rsidRPr="006926AA">
        <w:rPr>
          <w:rFonts w:ascii="Times New Roman" w:eastAsia="Calibri" w:hAnsi="Times New Roman" w:cs="Times New Roman"/>
          <w:i/>
          <w:color w:val="000000"/>
          <w:sz w:val="24"/>
          <w:szCs w:val="20"/>
        </w:rPr>
        <w:t>Artemia salina</w:t>
      </w:r>
      <w:r w:rsidRPr="006926AA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e a atividade antibacteriana foi avaliada pelo método de difusão em disco, frente aos microrganismos </w:t>
      </w:r>
      <w:r w:rsidRPr="006926AA">
        <w:rPr>
          <w:rFonts w:ascii="Times New Roman" w:eastAsia="Calibri" w:hAnsi="Times New Roman" w:cs="Times New Roman"/>
          <w:i/>
          <w:color w:val="000000"/>
          <w:sz w:val="24"/>
          <w:szCs w:val="20"/>
        </w:rPr>
        <w:t>Escherichia coli</w:t>
      </w:r>
      <w:r w:rsidRPr="006926AA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e </w:t>
      </w:r>
      <w:r w:rsidRPr="006926AA">
        <w:rPr>
          <w:rFonts w:ascii="Times New Roman" w:eastAsia="Calibri" w:hAnsi="Times New Roman" w:cs="Times New Roman"/>
          <w:i/>
          <w:color w:val="000000"/>
          <w:sz w:val="24"/>
          <w:szCs w:val="20"/>
        </w:rPr>
        <w:t>Staphylococcus aureus</w:t>
      </w:r>
      <w:r w:rsidRPr="006926AA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. Os resultados encontraram a presença de alcaloides, flavonoides, saponinas e taninos. O decocto foi </w:t>
      </w:r>
      <w:r w:rsidRPr="006926AA">
        <w:rPr>
          <w:rFonts w:ascii="Times New Roman" w:eastAsia="Calibri" w:hAnsi="Times New Roman" w:cs="Times New Roman"/>
          <w:color w:val="000000"/>
          <w:sz w:val="24"/>
          <w:szCs w:val="20"/>
        </w:rPr>
        <w:lastRenderedPageBreak/>
        <w:t>classificado como atóxico (DL</w:t>
      </w:r>
      <w:r w:rsidRPr="006926AA">
        <w:rPr>
          <w:rFonts w:ascii="Times New Roman" w:eastAsia="Calibri" w:hAnsi="Times New Roman" w:cs="Times New Roman"/>
          <w:color w:val="000000"/>
          <w:sz w:val="24"/>
          <w:szCs w:val="20"/>
          <w:vertAlign w:val="subscript"/>
        </w:rPr>
        <w:t>50</w:t>
      </w:r>
      <w:r w:rsidRPr="006926AA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=8.012 µg/mL) e não foi encontrada atividade antibacteriana sobre todas as cepas testadas. </w:t>
      </w:r>
    </w:p>
    <w:p w:rsidR="006926AA" w:rsidRPr="006926AA" w:rsidRDefault="006926AA" w:rsidP="006926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 w:rsidRPr="006926A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>Palavras-chave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: Plantas medicinais. Fitoquímicos. Metabólitos secundários. </w:t>
      </w:r>
      <w:r w:rsidRPr="006926A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Citotoxicidade aguda. </w:t>
      </w:r>
      <w:r w:rsidRPr="006926AA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t>Artemia salina</w:t>
      </w:r>
      <w:r w:rsidRPr="006926AA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t-BR"/>
        </w:rPr>
        <w:t xml:space="preserve">. 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Atividade antibacteriana.</w:t>
      </w:r>
    </w:p>
    <w:p w:rsidR="006926AA" w:rsidRPr="006926AA" w:rsidRDefault="006926AA" w:rsidP="00692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</w:pPr>
      <w:r w:rsidRPr="006926A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>ABSTRACT</w:t>
      </w:r>
    </w:p>
    <w:p w:rsidR="006926AA" w:rsidRPr="006926AA" w:rsidRDefault="006926AA" w:rsidP="006926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The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present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proofErr w:type="gram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project</w:t>
      </w:r>
      <w:proofErr w:type="spellEnd"/>
      <w:proofErr w:type="gram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aimed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to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realize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phytochemical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prospection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to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evaluate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cytotoxic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antimicrobial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activities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from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barks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of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Apodanthera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smilacifolia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cong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(CIPÓ-AZOUGUE). The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family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Cucurbitaceae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Juss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is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numerous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heterogeneous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</w:t>
      </w:r>
      <w:proofErr w:type="spellStart"/>
      <w:proofErr w:type="gram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just</w:t>
      </w:r>
      <w:proofErr w:type="spellEnd"/>
      <w:proofErr w:type="gram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like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many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vegetable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clams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presents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different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informations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about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its genus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species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.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Although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its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morphology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is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very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diverse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are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easily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recognized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by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climber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manner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.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However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some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authors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report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about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95 genus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estimated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number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between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950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980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of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species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mostly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spread in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tropical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subtropical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regions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of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world.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Being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rare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in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temperate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regions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. The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specie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is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popularly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known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as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Cipo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́ Azougue, Cipó-santo, Catingueira, Chá-de-boubas e Cota,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among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others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.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are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popularly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used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on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treatments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of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syphilitic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skin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infections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dermal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ulcer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scabies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herpes. The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identification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of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secondary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metabolites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was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accomplished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by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validated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colorimetric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tests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cytotoxicity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by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lethality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test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against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microcrack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Artemia salina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antibacterial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activity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was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evaluated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by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disk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diffusion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method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against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microorganisms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Escherichia coli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Staphylococcus aureus. The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results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found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presence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of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alkaloids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flavonoids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,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saponins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tannins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. The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decoction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was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classified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as non-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toxic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(LD50 = 8.012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μg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/ mL)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no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antibacterial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activity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above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all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the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tested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strains</w:t>
      </w:r>
      <w:proofErr w:type="spellEnd"/>
    </w:p>
    <w:p w:rsidR="006926AA" w:rsidRPr="006926AA" w:rsidRDefault="006926AA" w:rsidP="006926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proofErr w:type="spellStart"/>
      <w:r w:rsidRPr="006926A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>Keywords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: Medicinal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plants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.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Phytochemicals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.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Secondary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metabolites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.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Acute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cytotoxicity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. Artemia salina.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Antibacterial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activity</w:t>
      </w:r>
      <w:proofErr w:type="spellEnd"/>
    </w:p>
    <w:p w:rsidR="006926AA" w:rsidRPr="006926AA" w:rsidRDefault="006926AA" w:rsidP="006926AA">
      <w:pPr>
        <w:keepNext/>
        <w:shd w:val="clear" w:color="auto" w:fill="FFFFFF"/>
        <w:spacing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</w:pPr>
      <w:r w:rsidRPr="006926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>1. INTRODUÇÃO</w:t>
      </w:r>
    </w:p>
    <w:p w:rsidR="006926AA" w:rsidRPr="006926AA" w:rsidRDefault="006926AA" w:rsidP="00692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busca pelo alívio e pela cura de doenças por meio da ingestão de ervas e folhas talvez tenha sido uma das primeiras formas de tratamento que se tem conhecimento. Intuitivamente, o homem primitivo procurava descobrir soluções para as suas necessidades básicas de sobrevivência. Suas experiências e observações resultaram em descobertas importantes para soluções de tratamentos de injúrias ou doenças através </w:t>
      </w:r>
      <w:r w:rsidRPr="006926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 uso de diferentes espécies vegetais [1]. No Brasil, o emprego de plantas medicinais historicamente está presente desde o período anterior à colonização, incluídas no cotidiano e na prática medicinal dos índios e, em seguida, parte desse conhecimento foi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transmitido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para os colonizadores e ainda é empregado empiricamente até os dias atuais [2,3].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Plantas com fins medicinais são aquelas que podem ser cultivadas ou não, e são utilizadas com propósitos terapêuticos e fitoterápicos. Esses últimos podem ser definidos como produtos obtidos das matérias-primas ativas vegetais, com finalidade curativa ou paliativa. O medicamento fitoterápico, portanto, é entendido como simples quando o ativo é proveniente de uma única espécie vegetal medicinal, ou composto quando o ativo é oriundo de mais de uma espécie [4, 5, 6].</w:t>
      </w:r>
    </w:p>
    <w:p w:rsidR="006926AA" w:rsidRPr="006926AA" w:rsidRDefault="006926AA" w:rsidP="006926AA">
      <w:pPr>
        <w:spacing w:after="0" w:line="36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O reino vegetal apresenta relevante importância para a química e para a medicina moderna, uma vez que, propiciou a descoberta de diversas substâncias ativas até então desconhecidas. Dados indicam que aproximados 50% dos medicamentos existentes no mercado são originados de produtos naturais que passaram a ser industrializadas, como os fitoterápicos, e foram introduzidos na terapêutica convencional [7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]</w:t>
      </w:r>
      <w:proofErr w:type="gramEnd"/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grande extensão territorial e a diversidade das condições climáticas fazem com que a flora brasileira apresente diferentes espécies vegetais, representando mais de 20% da diversidade do total do planeta. Algumas podem ser consideradas importantes matérias-primas que passaram a ser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incorporadas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ao hábito alimentar dos brasileiros [8].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Os compostos fitoquímicos biologicamente ativos, presentes nas plantas, são originados a partir do seu metabolismo secundário. Geralmente se apresentam como estruturas químicas complexas e de baixo peso molecular, diferentemente dos metabólitos primários [9].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família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Cucurbitaceae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Juss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é numerosa e heterogênea, assim como muitos táxons vegetais, e apresenta informações distintas acerca de seus gêneros e espécies. Alguns autores relatam aproximadamente 95 gêneros e um número estimado entre 950 e 980 de espécies distribuídas principalmente nas regiões tropicais e subtropicais do mundo, sendo raras em regiões temperadas. [10, 11, 12]. Embora sua morfologia seja bastante diversificada, são facilmente reconhecidas pelo hábito trepador, gavinhas posicionadas a 90° em relação ao pecíolo, folhas em geral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palmatilobadas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ou compostas, flores unissexuadas, com cálice e corola pentâmeros, 2 a 5 estames e ovário ínfero [11]. 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As famílias das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cucurbitacinas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são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triterpenos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tetracíclicos altamente oxigenados, descritos como princípios tóxicos da família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Cucurbitaceae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gerando interesse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pesquisadores por possuírem diversas atividades biológicas, tais como: citotóxica, antitumoral,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antiinflamatória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antifertilizante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fago-repelente,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hepatoprotetora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 antibacteriana [13].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espécie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 xml:space="preserve">A. </w:t>
      </w:r>
      <w:proofErr w:type="spellStart"/>
      <w:r w:rsidRPr="006926AA">
        <w:rPr>
          <w:rFonts w:ascii="Times New Roman" w:eastAsia="Calibri" w:hAnsi="Times New Roman" w:cs="Times New Roman"/>
          <w:i/>
          <w:sz w:val="24"/>
          <w:szCs w:val="24"/>
        </w:rPr>
        <w:t>smilacifolia</w:t>
      </w:r>
      <w:proofErr w:type="spellEnd"/>
      <w:r w:rsidRPr="006926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Cogn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é popularmente conhecida como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Cipo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́ Azougue, </w:t>
      </w: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Cipó-santo, Catingueira, Chá-de-boubas, Azougue e 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Cota. É uma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herbácea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pertencente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família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das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Cucurbitáceas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sendo distribuída amplamente, e os seus galhos e folhas são popularmente utilizados em tratamentos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infecções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cutâneas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caráter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sifilítico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úlcera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dérmica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, sarna , herpes, propriedades anti-inflamatórias e antiofídicas. [11].</w:t>
      </w:r>
    </w:p>
    <w:p w:rsid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Por se tratar de uma planta utilizada popularmente com fins terapêuticos, estudos investigativos são de extrema relevância. Neste contexto, o objetivo do presente estudo foi realizar a prospecção fitoquímica, avaliar a citotoxicidade aguda e a atividade antibacteriana das cascas de </w:t>
      </w:r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A. </w:t>
      </w:r>
      <w:proofErr w:type="spellStart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smilacifolia</w:t>
      </w:r>
      <w:proofErr w:type="spellEnd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Cong.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26AA" w:rsidRPr="006926AA" w:rsidRDefault="006926AA" w:rsidP="006926AA">
      <w:pPr>
        <w:keepNext/>
        <w:shd w:val="clear" w:color="auto" w:fill="FFFFFF"/>
        <w:spacing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</w:pPr>
      <w:bookmarkStart w:id="1" w:name="_Toc529544842"/>
      <w:r w:rsidRPr="006926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>2. MATERIAIS</w:t>
      </w:r>
      <w:proofErr w:type="gramStart"/>
      <w:r w:rsidRPr="006926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 xml:space="preserve">  </w:t>
      </w:r>
      <w:proofErr w:type="gramEnd"/>
      <w:r w:rsidRPr="006926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>E MÉTODOS</w:t>
      </w:r>
      <w:bookmarkEnd w:id="1"/>
      <w:r w:rsidRPr="006926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 xml:space="preserve"> </w:t>
      </w: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2.1 Obtenção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material vegetal 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 amostras foram adquiridas no mercado municipal de Porto Alegre, Rio Grande do Sul, em dezembro de 2017. O produto encontrava-se em uma embalagem lacrada, com os dados do fabricante e número de registro no Ministério da Agricultura, Pecuária e Abastecimento. Identificado como Casca de cipó azougue 50 gramas. 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Após busca na literatura, cruzaram-se os dados sobre as características morfológicas da parte vegetal, de seus nomes populares, com as indicações terapêuticas e o histórico dos registros do gênero, chegando-se ao nome científico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correto: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Apodanthera</w:t>
      </w:r>
      <w:proofErr w:type="spellEnd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smilacifolia</w:t>
      </w:r>
      <w:proofErr w:type="spellEnd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Cong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A exsicata está depositada sob registro: MNHN-P-P0025736</w:t>
      </w:r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3 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no MUSÉUM NATIONAL D’ HISTOIRE NATURELLE- FRANÇA e  P00751794 Herbário Virtual (Reflora-CNPq).</w:t>
      </w: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2.2 Preparação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extratos</w:t>
      </w: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Extrato Aquoso</w:t>
      </w: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Sendo o método mais utilizado pela população, para fiz terapêuticos, normalmente em formas de chás e banhos, foram pesadas 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colheres de sopa (6,7 mg/mL) para 240 mL de água, correspondendo a uma xícara de chá( brasil, 1998). Segundo a Agência Nacional de Vigilância Sanitária (ANVISA), pelo regulamento 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técnico N° 519 o extrato 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aquoso(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EA) foi obtido a partir do método de decocção </w:t>
      </w:r>
      <w:r w:rsidRPr="006926AA">
        <w:rPr>
          <w:rFonts w:ascii="Times New Roman" w:eastAsia="Calibri" w:hAnsi="Times New Roman" w:cs="Times New Roman"/>
          <w:sz w:val="24"/>
        </w:rPr>
        <w:t>, preparo no qual o produto é fervido em água.</w:t>
      </w: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926AA">
        <w:rPr>
          <w:rFonts w:ascii="Times New Roman" w:eastAsia="Calibri" w:hAnsi="Times New Roman" w:cs="Times New Roman"/>
          <w:sz w:val="24"/>
        </w:rPr>
        <w:t>Extrato Metanólico</w:t>
      </w: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926AA">
        <w:rPr>
          <w:rFonts w:ascii="Times New Roman" w:eastAsia="Calibri" w:hAnsi="Times New Roman" w:cs="Times New Roman"/>
          <w:sz w:val="24"/>
        </w:rPr>
        <w:t xml:space="preserve"> </w:t>
      </w:r>
      <w:r w:rsidRPr="006926AA">
        <w:rPr>
          <w:rFonts w:ascii="Times New Roman" w:eastAsia="Calibri" w:hAnsi="Times New Roman" w:cs="Times New Roman"/>
          <w:sz w:val="24"/>
        </w:rPr>
        <w:tab/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O Extrato metanólico (EM) foi preparado pelo método de maceração, </w:t>
      </w:r>
      <w:r w:rsidRPr="006926AA">
        <w:rPr>
          <w:rFonts w:ascii="Times New Roman" w:eastAsia="Calibri" w:hAnsi="Times New Roman" w:cs="Times New Roman"/>
          <w:sz w:val="24"/>
        </w:rPr>
        <w:t xml:space="preserve">foram pesados 150g das cascas de </w:t>
      </w:r>
      <w:r w:rsidRPr="006926AA">
        <w:rPr>
          <w:rFonts w:ascii="Times New Roman" w:eastAsia="Calibri" w:hAnsi="Times New Roman" w:cs="Times New Roman"/>
          <w:i/>
          <w:sz w:val="24"/>
        </w:rPr>
        <w:t xml:space="preserve">A. </w:t>
      </w:r>
      <w:proofErr w:type="spellStart"/>
      <w:r w:rsidRPr="006926AA">
        <w:rPr>
          <w:rFonts w:ascii="Times New Roman" w:eastAsia="Calibri" w:hAnsi="Times New Roman" w:cs="Times New Roman"/>
          <w:i/>
          <w:sz w:val="24"/>
        </w:rPr>
        <w:t>smilacifolia</w:t>
      </w:r>
      <w:proofErr w:type="spellEnd"/>
      <w:r w:rsidRPr="006926AA">
        <w:rPr>
          <w:rFonts w:ascii="Times New Roman" w:eastAsia="Calibri" w:hAnsi="Times New Roman" w:cs="Times New Roman"/>
          <w:i/>
          <w:sz w:val="24"/>
        </w:rPr>
        <w:t xml:space="preserve"> </w:t>
      </w:r>
      <w:r w:rsidRPr="006926AA">
        <w:rPr>
          <w:rFonts w:ascii="Times New Roman" w:eastAsia="Calibri" w:hAnsi="Times New Roman" w:cs="Times New Roman"/>
          <w:sz w:val="24"/>
        </w:rPr>
        <w:t xml:space="preserve">e foram adicionados 250 mL do metanol ao material seco, por 48 horas em vidro âmbar, em temperatura ambiente. Após as 48 horas, o material obtido foi filtrado e levado ao evaporador rotativo </w:t>
      </w:r>
      <w:proofErr w:type="spellStart"/>
      <w:r w:rsidRPr="006926AA">
        <w:rPr>
          <w:rFonts w:ascii="Times New Roman" w:eastAsia="Calibri" w:hAnsi="Times New Roman" w:cs="Times New Roman"/>
          <w:sz w:val="24"/>
        </w:rPr>
        <w:t>Quimis</w:t>
      </w:r>
      <w:proofErr w:type="spellEnd"/>
      <w:r w:rsidRPr="006926AA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6926AA">
        <w:rPr>
          <w:rFonts w:ascii="Times New Roman" w:eastAsia="Calibri" w:hAnsi="Times New Roman" w:cs="Times New Roman"/>
          <w:sz w:val="24"/>
        </w:rPr>
        <w:t xml:space="preserve">( </w:t>
      </w:r>
      <w:proofErr w:type="gramEnd"/>
      <w:r w:rsidRPr="006926AA">
        <w:rPr>
          <w:rFonts w:ascii="Times New Roman" w:eastAsia="Calibri" w:hAnsi="Times New Roman" w:cs="Times New Roman"/>
          <w:sz w:val="24"/>
        </w:rPr>
        <w:t xml:space="preserve">Q344B1) (700 PSI, 60° C). Foi obtido um rendimento de 2,2 gramas do extrato </w:t>
      </w:r>
      <w:proofErr w:type="gramStart"/>
      <w:r w:rsidRPr="006926AA">
        <w:rPr>
          <w:rFonts w:ascii="Times New Roman" w:eastAsia="Calibri" w:hAnsi="Times New Roman" w:cs="Times New Roman"/>
          <w:sz w:val="24"/>
        </w:rPr>
        <w:t>metanólico[</w:t>
      </w:r>
      <w:proofErr w:type="gramEnd"/>
      <w:r w:rsidRPr="006926AA">
        <w:rPr>
          <w:rFonts w:ascii="Times New Roman" w:eastAsia="Calibri" w:hAnsi="Times New Roman" w:cs="Times New Roman"/>
          <w:sz w:val="24"/>
        </w:rPr>
        <w:t>14].</w:t>
      </w: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proofErr w:type="gramStart"/>
      <w:r w:rsidRPr="006926AA">
        <w:rPr>
          <w:rFonts w:ascii="Times New Roman" w:eastAsia="Calibri" w:hAnsi="Times New Roman" w:cs="Times New Roman"/>
          <w:color w:val="222222"/>
          <w:sz w:val="24"/>
          <w:szCs w:val="24"/>
        </w:rPr>
        <w:t>2.3 Prospecção</w:t>
      </w:r>
      <w:proofErr w:type="gramEnd"/>
      <w:r w:rsidRPr="006926AA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fitoquímica </w:t>
      </w:r>
      <w:r w:rsidRPr="006926AA">
        <w:rPr>
          <w:rFonts w:ascii="Times New Roman" w:eastAsia="Calibri" w:hAnsi="Times New Roman" w:cs="Times New Roman"/>
          <w:color w:val="222222"/>
          <w:sz w:val="24"/>
          <w:szCs w:val="24"/>
        </w:rPr>
        <w:softHyphen/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O Extrato aquoso (EA) foi obtido pelo método de decocção a partir do material vegetal conforme as indicações de preparo do uso popular, correspondendo a duas colheres de chá das cascas de Cipó Azougue, para 240 mL de água destilada, que corresponde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uma xícara de chá, considerando as proporções indicadas pelo regulamento técnico nº 519 da Agência Nacional de Vigilância Sanitária (ANVISA) [15], resultando na concentração de 28,2 mg/mL. 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prospecção fitoquímica foi realizada por meio de testes colorimétricos para a identificação dos principais metabólitos secundários, conforme técnicas qualitativas validadas por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Radi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Terrones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(2007) [16], Wagner 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Bladt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(1996) [17],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Paech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Tracey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(1995) [18], Pereira e Cardoso (2012) [19],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Rajeh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et. al. (2012) [20]. Os compostos pesquisados foram: Alcaloides, Flavonoides,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Triterpenos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Taninos, Antraquinonas,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Cumarinos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voláteis 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Auronas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Chalconas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26AA" w:rsidRPr="006926AA" w:rsidRDefault="006926AA" w:rsidP="006926AA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Para a identificação de alcaloides, foi utilizado para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extração ácido clorídrico (1%), seguida por análises preliminares com reagentes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Drangendorff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, de Bertrand e de Mayer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. Após a positividade, o teste confirmatório ocorre pela adição de solução de carbonato de sódio (22%,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pH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8-9), extração com clorofórmio e tratamento com ácido acético (pH 5) [20,21].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identificação das antraquinonas baseou-se na reação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Borntraeger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que consiste na adição de diclorometano e de solução aquosa de hidróxido de sódio, é considerado o resultado positivo o aparecimento da coloração vermelha de diferentes intensidades [21].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lastRenderedPageBreak/>
        <w:t>O processo de verificação da classe das cumarinas foi realizado em papel filtro por meio da adição de gotas de solução de KOH 50% sobre o infuso previamente adicionado. A positividade para o metabólito é indicada pela presença manchas azuis ou amarelas e o teste foi realizado em triplicata [16].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presença de flavonoides foi identificada pela formação de um precipitado com cor vermelha ou laranja, indicando a positividade do teste. Para tanto, colocaram-se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mL do extrato aquoso e adicionaram-se duas gotas de acetado de chumbo (10 %)  [22,23].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Para a identificação da saponinas, foram adicionados aos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mL da solução aquosa e mais  5 mL de água destilada fervente. Após o resfriamento, sofreu intensa agitação e repouso por 20 minutos. A formação de espuma com permanência mínima de 15 segundos indica a positividade da reação [15].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presença de taninos foram pesquisados, adicionando-se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mL do infuso em tubos de ensaios com 10 mL de água destilada. Após, a mistura foi filtrada e adicionaram-se duas gotas de cloreto férrico a 10 %. Esta reação indica a presença de taninos quando há o aparecimento de coloração azul ou verde [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15,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>24,25].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2.4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Bioensaio</w:t>
      </w:r>
      <w:proofErr w:type="spellEnd"/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com 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>Artemia salina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atividade citotóxica aguda foi avaliada por meio do teste de letalidade frente ao microcrustáceo 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>Artemia salina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da ordem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Anostraca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, que habita em água salgada [24,27].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Em um balão de fundo chato foi preparada uma solução de sal marinho (35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g/L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pH 8,5) e foram adicionados ovos de 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>A. salina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para a eclosão das larvas. A aclimatação consistiu no controle da temperatura (25ºC ± 2) com aeração e iluminação constantes, durante 48 horas. [22,24].</w:t>
      </w:r>
    </w:p>
    <w:p w:rsidR="006926AA" w:rsidRPr="006926AA" w:rsidRDefault="006926AA" w:rsidP="006926AA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concentração inicial do EA utilizada foi de 28,2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mg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/mL (1) e a partir desta foram realizadas diluições seriadas (1:1; 1:2; 1:5; 1:10; e 1:20) nas seguintes proporções: 14,1 mg/mL (1:2), 5,64 mg/mL (1:5), 2,82 (1:10) mg/mL e 1,41 (1:20) mg/mL. Feito isso, foram transferidos 10 náuplios de 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>Artemia salina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para os tubos de ensaio, contendo as diluições seriadas para serem avaliadas, o teste foi realizado em triplicata de amostra. Como controle positivo foi utilizado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dicromato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de potássio 0,1% e como controle negativo foi empregado apenas água salina (35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g/L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>). Após 24h, realizou-</w:t>
      </w:r>
      <w:r w:rsidRPr="006926AA">
        <w:rPr>
          <w:rFonts w:ascii="Times New Roman" w:eastAsia="Calibri" w:hAnsi="Times New Roman" w:cs="Times New Roman"/>
          <w:sz w:val="24"/>
          <w:szCs w:val="24"/>
        </w:rPr>
        <w:lastRenderedPageBreak/>
        <w:t>se a contagem dos microcrustáceos vivos, calculou-se o percentual de mortalidade e a determinação da dose letal mediana (DL</w:t>
      </w:r>
      <w:r w:rsidRPr="006926AA">
        <w:rPr>
          <w:rFonts w:ascii="Times New Roman" w:eastAsia="Calibri" w:hAnsi="Times New Roman" w:cs="Times New Roman"/>
          <w:sz w:val="24"/>
          <w:szCs w:val="24"/>
          <w:vertAlign w:val="subscript"/>
        </w:rPr>
        <w:t>50</w:t>
      </w:r>
      <w:r w:rsidRPr="006926A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926AA" w:rsidRPr="006926AA" w:rsidRDefault="006926AA" w:rsidP="006926AA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%M = 100 - (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MIVx100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MIVcn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926AA" w:rsidRPr="006926AA" w:rsidRDefault="006926AA" w:rsidP="00692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*MIV = média dos indivíduos vivos por concentração; **</w:t>
      </w:r>
      <w:proofErr w:type="spellStart"/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MIVcn</w:t>
      </w:r>
      <w:proofErr w:type="spellEnd"/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= Média dos indivíduos vivos do controle negativo.</w:t>
      </w:r>
    </w:p>
    <w:p w:rsidR="006926AA" w:rsidRPr="006926AA" w:rsidRDefault="006926AA" w:rsidP="00692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6AA" w:rsidRPr="006926AA" w:rsidRDefault="006926AA" w:rsidP="00692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A dose letal mediana (DL</w:t>
      </w:r>
      <w:r w:rsidRPr="006926AA">
        <w:rPr>
          <w:rFonts w:ascii="Times New Roman" w:eastAsia="Calibri" w:hAnsi="Times New Roman" w:cs="Times New Roman"/>
          <w:sz w:val="24"/>
          <w:szCs w:val="24"/>
          <w:vertAlign w:val="subscript"/>
        </w:rPr>
        <w:t>50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) foi obtida pelo método da regressão linear com base na correlação do logaritmo das concentrações em função dos percentuais da mortalidade registrados. Ao valor de y (ordenadas), atribui-se a metade das mortes máximas possíveis (n/2); ao resultado de x obtido (abscissas), aplicou-se o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antilogaritmo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, resultando no valor final que é convertido para µg/mL ou PPM [22,26].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É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estabelecida uma classificação, na qual as amostras que apresentam uma DL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 xml:space="preserve">50 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&gt;</w:t>
      </w:r>
      <w:r w:rsidRPr="006926AA">
        <w:rPr>
          <w:rFonts w:ascii="Times New Roman" w:eastAsia="Calibri" w:hAnsi="Times New Roman" w:cs="Times New Roman"/>
          <w:sz w:val="24"/>
          <w:szCs w:val="24"/>
        </w:rPr>
        <w:t>1000 µg/mL são consideradas atóxicas e as que apresentam a DL</w:t>
      </w:r>
      <w:r w:rsidRPr="006926A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50 </w:t>
      </w:r>
      <w:r w:rsidRPr="006926AA">
        <w:rPr>
          <w:rFonts w:ascii="Times New Roman" w:eastAsia="Calibri" w:hAnsi="Times New Roman" w:cs="Times New Roman"/>
          <w:sz w:val="24"/>
          <w:szCs w:val="24"/>
        </w:rPr>
        <w:t>&lt;1000 µg/mL são consideradas tóxicas. [22,27].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2.5 Atividade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antibacteriana</w:t>
      </w:r>
    </w:p>
    <w:p w:rsidR="006926AA" w:rsidRPr="006926AA" w:rsidRDefault="006926AA" w:rsidP="00692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A atividade antibacteriana foi realizada utilizando a técnica de difusão em disco, seguindo o método da </w:t>
      </w:r>
      <w:proofErr w:type="spellStart"/>
      <w:r w:rsidRPr="006926AA">
        <w:rPr>
          <w:rFonts w:ascii="Times New Roman" w:eastAsia="Calibri" w:hAnsi="Times New Roman" w:cs="Times New Roman"/>
          <w:i/>
          <w:sz w:val="24"/>
          <w:szCs w:val="24"/>
        </w:rPr>
        <w:t>Clinical</w:t>
      </w:r>
      <w:proofErr w:type="spellEnd"/>
      <w:r w:rsidRPr="006926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Pr="006926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  <w:sz w:val="24"/>
          <w:szCs w:val="24"/>
        </w:rPr>
        <w:t>Laboratory</w:t>
      </w:r>
      <w:proofErr w:type="spellEnd"/>
      <w:r w:rsidRPr="006926AA">
        <w:rPr>
          <w:rFonts w:ascii="Times New Roman" w:eastAsia="Calibri" w:hAnsi="Times New Roman" w:cs="Times New Roman"/>
          <w:i/>
          <w:sz w:val="24"/>
          <w:szCs w:val="24"/>
        </w:rPr>
        <w:t xml:space="preserve"> Standards </w:t>
      </w:r>
      <w:proofErr w:type="spellStart"/>
      <w:r w:rsidRPr="006926AA">
        <w:rPr>
          <w:rFonts w:ascii="Times New Roman" w:eastAsia="Calibri" w:hAnsi="Times New Roman" w:cs="Times New Roman"/>
          <w:i/>
          <w:sz w:val="24"/>
          <w:szCs w:val="24"/>
        </w:rPr>
        <w:t>Institute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(CLSI, 2011).  O meio de cultura utilizado foi o ágar Mueller-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Hinton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 os microrganismos utilizados foram: a 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>Escherichia coli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(ATCC 25922) e o 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>Staphylococcus aureus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(ATCC 25923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6926AA" w:rsidRPr="006926AA" w:rsidRDefault="006926AA" w:rsidP="00692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26AA" w:rsidRPr="006926AA" w:rsidRDefault="006926AA" w:rsidP="00692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Para realização da analise antibacteriana foram pipetados 10 </w:t>
      </w:r>
      <w:proofErr w:type="spellStart"/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uL</w:t>
      </w:r>
      <w:proofErr w:type="spellEnd"/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do EM das seguintes concentrações (500, 250, 150, 100, 50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0"/>
        </w:rPr>
        <w:t>μg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0"/>
        </w:rPr>
        <w:t>/mL</w:t>
      </w:r>
      <w:r w:rsidRPr="006926AA">
        <w:rPr>
          <w:rFonts w:ascii="Times New Roman" w:eastAsia="Calibri" w:hAnsi="Times New Roman" w:cs="Times New Roman"/>
          <w:sz w:val="20"/>
          <w:szCs w:val="20"/>
        </w:rPr>
        <w:t>)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de cada amostra sobre discos de papel filtro estéreis com 6 mm de diâmetro, os quais foram levados ao dissecador por 48 horas. Posteriormente, foram preparadas suspensões bacterianas contendo solução fisiológica, obtendo-se uma turvação equivalente a padrão de 0,5 na escala de Mac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Farland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[32].</w:t>
      </w:r>
    </w:p>
    <w:p w:rsidR="006926AA" w:rsidRPr="006926AA" w:rsidRDefault="006926AA" w:rsidP="00692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Em seguida, essas suspensões foram semeadas em placas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petri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com auxílio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swabs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estéreis em meio ágar Mueller-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Hinton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 inoculados os discos impregnados com as determinadas concentrações do EM de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926AA">
        <w:rPr>
          <w:rFonts w:ascii="Times New Roman" w:eastAsia="Calibri" w:hAnsi="Times New Roman" w:cs="Times New Roman"/>
          <w:sz w:val="24"/>
          <w:szCs w:val="24"/>
        </w:rPr>
        <w:t>podanthera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Smilacifolia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cong. O controle negativo foi feito com disco impregnado com DMSO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10% e o controle positivo, com fármacos antibacterianos, sendo a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Clindamicina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(2μg) para o microrganismo </w:t>
      </w:r>
      <w:r w:rsidRPr="006926A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Staphylococcus aureus 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Ceftriaxona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(30μg) para </w:t>
      </w:r>
      <w:r w:rsidRPr="006926AA">
        <w:rPr>
          <w:rFonts w:ascii="Times New Roman" w:eastAsia="Calibri" w:hAnsi="Times New Roman" w:cs="Times New Roman"/>
          <w:i/>
          <w:iCs/>
          <w:sz w:val="24"/>
          <w:szCs w:val="24"/>
        </w:rPr>
        <w:t>Escherichia coli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. As placas foram incubadas a 37ºC por 24 horas, após esse período, os halos de inibição </w:t>
      </w:r>
      <w:r w:rsidRPr="006926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foram medidos com auxílio de um paquímetro manual. Todas as análises foram realizadas em triplicata. Foram considerados atividade antibacteriana os halos de inibição superior a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mm de diâmetro [33].</w:t>
      </w:r>
    </w:p>
    <w:p w:rsidR="006926AA" w:rsidRPr="006926AA" w:rsidRDefault="006926AA" w:rsidP="006926A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</w:pP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avaliação da CIM, o presente estudo baseou-se na classificação indicada por </w:t>
      </w:r>
      <w:proofErr w:type="spellStart"/>
      <w:r w:rsidRPr="006926AA"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  <w:t>Holetz</w:t>
      </w:r>
      <w:proofErr w:type="spellEnd"/>
      <w:r w:rsidRPr="006926AA"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  <w:t xml:space="preserve"> [24] que estabeleceram os seguintes critérios: CIM abaixo de 100 </w:t>
      </w:r>
      <w:proofErr w:type="spellStart"/>
      <w:r w:rsidRPr="006926AA"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  <w:t>μg</w:t>
      </w:r>
      <w:proofErr w:type="spellEnd"/>
      <w:r w:rsidRPr="006926AA"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  <w:t xml:space="preserve"> /mL possui forte atividade antibacteriana; entre 100 a 250 </w:t>
      </w:r>
      <w:proofErr w:type="spellStart"/>
      <w:r w:rsidRPr="006926AA"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  <w:t>μg</w:t>
      </w:r>
      <w:proofErr w:type="spellEnd"/>
      <w:r w:rsidRPr="006926AA"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  <w:t xml:space="preserve">/mL apresenta boa atividade e entre 500 a 1000 </w:t>
      </w:r>
      <w:proofErr w:type="spellStart"/>
      <w:r w:rsidRPr="006926AA"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  <w:t>μg</w:t>
      </w:r>
      <w:proofErr w:type="spellEnd"/>
      <w:r w:rsidRPr="006926AA"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  <w:t>/mL apresenta fraca atividade [32].</w:t>
      </w:r>
    </w:p>
    <w:p w:rsidR="006926AA" w:rsidRPr="006926AA" w:rsidRDefault="006926AA" w:rsidP="006926A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</w:pPr>
    </w:p>
    <w:p w:rsidR="006926AA" w:rsidRPr="006926AA" w:rsidRDefault="006926AA" w:rsidP="006926AA">
      <w:pPr>
        <w:keepNext/>
        <w:shd w:val="clear" w:color="auto" w:fill="FFFFFF"/>
        <w:spacing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</w:pPr>
      <w:bookmarkStart w:id="2" w:name="_Toc529544843"/>
      <w:r w:rsidRPr="006926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>3. RESULTADOS E DISCUSSÃO</w:t>
      </w:r>
      <w:bookmarkEnd w:id="2"/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3.1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Prospecção fitoquímica</w:t>
      </w:r>
    </w:p>
    <w:p w:rsidR="006926AA" w:rsidRPr="006926AA" w:rsidRDefault="006926AA" w:rsidP="006926AA">
      <w:pPr>
        <w:spacing w:after="12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Os metabólitos secundários desempenham papéis importantes na bioquímica e na fisiologia dos vegetais. Muitas classes fitoquímicas estão envolvidas nos processos fisiológicos das plantas, particularmente respondendo aos estímulos ambientais [27].</w:t>
      </w:r>
    </w:p>
    <w:p w:rsidR="006926AA" w:rsidRPr="006926AA" w:rsidRDefault="006926AA" w:rsidP="006926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926AA">
        <w:rPr>
          <w:rFonts w:ascii="Times New Roman" w:eastAsia="Calibri" w:hAnsi="Times New Roman" w:cs="Times New Roman"/>
          <w:b/>
          <w:sz w:val="20"/>
          <w:szCs w:val="20"/>
        </w:rPr>
        <w:t xml:space="preserve">TABELA 1: </w:t>
      </w:r>
      <w:r w:rsidRPr="006926AA">
        <w:rPr>
          <w:rFonts w:ascii="Times New Roman" w:eastAsia="Calibri" w:hAnsi="Times New Roman" w:cs="Times New Roman"/>
        </w:rPr>
        <w:t xml:space="preserve">Fitoquímicos presentes no extrato aquoso da casca da </w:t>
      </w:r>
      <w:proofErr w:type="spellStart"/>
      <w:r w:rsidRPr="006926AA">
        <w:rPr>
          <w:rFonts w:ascii="Times New Roman" w:eastAsia="Calibri" w:hAnsi="Times New Roman" w:cs="Times New Roman"/>
          <w:i/>
        </w:rPr>
        <w:t>Apodanthera</w:t>
      </w:r>
      <w:proofErr w:type="spellEnd"/>
      <w:r w:rsidRPr="006926A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i/>
        </w:rPr>
        <w:t>smilacifolia</w:t>
      </w:r>
      <w:proofErr w:type="spellEnd"/>
      <w:r w:rsidRPr="006926AA">
        <w:rPr>
          <w:rFonts w:ascii="Times New Roman" w:eastAsia="Calibri" w:hAnsi="Times New Roman" w:cs="Times New Roman"/>
        </w:rPr>
        <w:t xml:space="preserve"> Cong.</w:t>
      </w:r>
    </w:p>
    <w:p w:rsidR="006926AA" w:rsidRPr="006926AA" w:rsidRDefault="006926AA" w:rsidP="006926AA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</w:rPr>
      </w:pPr>
    </w:p>
    <w:p w:rsidR="006926AA" w:rsidRPr="006926AA" w:rsidRDefault="006926AA" w:rsidP="006926AA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</w:rPr>
      </w:pPr>
    </w:p>
    <w:p w:rsidR="006926AA" w:rsidRPr="006926AA" w:rsidRDefault="006926AA" w:rsidP="006926AA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</w:rPr>
      </w:pPr>
    </w:p>
    <w:p w:rsidR="006926AA" w:rsidRPr="006926AA" w:rsidRDefault="006926AA" w:rsidP="006926AA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</w:rPr>
      </w:pPr>
    </w:p>
    <w:tbl>
      <w:tblPr>
        <w:tblStyle w:val="Tabelacomgrade1"/>
        <w:tblW w:w="4887" w:type="pct"/>
        <w:jc w:val="center"/>
        <w:tblLook w:val="04A0" w:firstRow="1" w:lastRow="0" w:firstColumn="1" w:lastColumn="0" w:noHBand="0" w:noVBand="1"/>
      </w:tblPr>
      <w:tblGrid>
        <w:gridCol w:w="4720"/>
        <w:gridCol w:w="3803"/>
      </w:tblGrid>
      <w:tr w:rsidR="006926AA" w:rsidRPr="006926AA" w:rsidTr="00394D4D">
        <w:trPr>
          <w:trHeight w:val="347"/>
          <w:jc w:val="center"/>
        </w:trPr>
        <w:tc>
          <w:tcPr>
            <w:tcW w:w="276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METABÓLITO</w:t>
            </w:r>
          </w:p>
        </w:tc>
        <w:tc>
          <w:tcPr>
            <w:tcW w:w="2231" w:type="pc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PRESENÇA</w:t>
            </w:r>
          </w:p>
        </w:tc>
      </w:tr>
      <w:tr w:rsidR="006926AA" w:rsidRPr="006926AA" w:rsidTr="00394D4D">
        <w:trPr>
          <w:trHeight w:val="280"/>
          <w:jc w:val="center"/>
        </w:trPr>
        <w:tc>
          <w:tcPr>
            <w:tcW w:w="27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Alcaloides</w:t>
            </w:r>
          </w:p>
        </w:tc>
        <w:tc>
          <w:tcPr>
            <w:tcW w:w="223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6926AA" w:rsidRPr="006926AA" w:rsidTr="00394D4D">
        <w:trPr>
          <w:trHeight w:val="362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Antraquinonas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926AA" w:rsidRPr="006926AA" w:rsidTr="00394D4D">
        <w:trPr>
          <w:trHeight w:val="347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Cumarinas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926AA" w:rsidRPr="006926AA" w:rsidTr="00394D4D">
        <w:trPr>
          <w:trHeight w:val="347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Flavonoides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6926AA" w:rsidRPr="006926AA" w:rsidTr="00394D4D">
        <w:trPr>
          <w:trHeight w:val="362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Purinas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926AA" w:rsidRPr="006926AA" w:rsidTr="00394D4D">
        <w:trPr>
          <w:trHeight w:val="347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Saponinas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6926AA" w:rsidRPr="006926AA" w:rsidTr="00394D4D">
        <w:trPr>
          <w:trHeight w:val="347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Taninos</w:t>
            </w: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6926AA" w:rsidRPr="006926AA" w:rsidTr="00394D4D">
        <w:trPr>
          <w:trHeight w:val="80"/>
          <w:jc w:val="center"/>
        </w:trPr>
        <w:tc>
          <w:tcPr>
            <w:tcW w:w="27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Triterpenos</w:t>
            </w:r>
            <w:proofErr w:type="spellEnd"/>
          </w:p>
        </w:tc>
        <w:tc>
          <w:tcPr>
            <w:tcW w:w="22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60" w:after="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6926AA" w:rsidRPr="006926AA" w:rsidRDefault="006926AA" w:rsidP="006926AA">
      <w:pPr>
        <w:spacing w:before="60" w:after="0" w:line="48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26AA">
        <w:rPr>
          <w:rFonts w:ascii="Times New Roman" w:eastAsia="Calibri" w:hAnsi="Times New Roman" w:cs="Times New Roman"/>
          <w:b/>
          <w:sz w:val="20"/>
          <w:szCs w:val="20"/>
        </w:rPr>
        <w:t xml:space="preserve">Legenda: </w:t>
      </w:r>
      <w:r w:rsidRPr="006926AA">
        <w:rPr>
          <w:rFonts w:ascii="Times New Roman" w:eastAsia="Calibri" w:hAnsi="Times New Roman" w:cs="Times New Roman"/>
          <w:sz w:val="20"/>
          <w:szCs w:val="20"/>
        </w:rPr>
        <w:t xml:space="preserve">(+) </w:t>
      </w:r>
      <w:proofErr w:type="gramStart"/>
      <w:r w:rsidRPr="006926AA">
        <w:rPr>
          <w:rFonts w:ascii="Times New Roman" w:eastAsia="Calibri" w:hAnsi="Times New Roman" w:cs="Times New Roman"/>
          <w:sz w:val="20"/>
          <w:szCs w:val="20"/>
        </w:rPr>
        <w:t>positivo, (-) negativo</w:t>
      </w:r>
      <w:proofErr w:type="gramEnd"/>
      <w:r w:rsidRPr="006926A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926AA" w:rsidRPr="006926AA" w:rsidRDefault="006926AA" w:rsidP="006926A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As diferentes classes desses compostos são originadas a partir do metabolismo da glicose, basicamente oriundos da via do ácido chiquímico e da via do acetato, destacando-se os alcaloides, as cumarinas, os flavonoides, as saponinas e os taninos hidrolisáveis, dentre outros exemplos [20,26].</w:t>
      </w:r>
    </w:p>
    <w:p w:rsidR="006926AA" w:rsidRPr="006926AA" w:rsidRDefault="006926AA" w:rsidP="006926A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As atividades biológicas dos metabólitos secundários são reconhecidamente importantes </w:t>
      </w:r>
      <w:r w:rsidRPr="006926AA">
        <w:rPr>
          <w:rFonts w:ascii="Times New Roman" w:eastAsia="Calibri" w:hAnsi="Times New Roman" w:cs="Times New Roman"/>
          <w:sz w:val="24"/>
          <w:szCs w:val="24"/>
        </w:rPr>
        <w:t>na área farmacêutica. Além de novos medicamentos, as classes químicas farmacologicamente ativas também podem ser empregadas na indústria de alimentos e na área agronômica, por exemplo [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19,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>26,29].</w:t>
      </w:r>
    </w:p>
    <w:p w:rsidR="006926AA" w:rsidRPr="006926AA" w:rsidRDefault="006926AA" w:rsidP="006926A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0"/>
        </w:rPr>
        <w:t>Com relação aos fitoquímicos identificados no presente estudo, os flavonoides representam uma das classes mais importantes, sendo amplamente distribuídos no reino vegetal e possuindo atividades distintas, tais como: antimicrobiana, antiviral, antiulcerogênica e antineoplásica, além dos efeitos antioxidantes, antihepatotóxico e anti-inflamatório [26,27].</w:t>
      </w:r>
    </w:p>
    <w:p w:rsidR="006926AA" w:rsidRPr="006926AA" w:rsidRDefault="006926AA" w:rsidP="006926A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Os taninos são substâncias hidrossolúveis que apresentam propriedades adstringentes lhes proporcionando ação antimicrobiana e antifúngica [27,28].</w:t>
      </w:r>
      <w:r w:rsidRPr="006926AA">
        <w:rPr>
          <w:rFonts w:ascii="Times New Roman" w:eastAsia="Calibri" w:hAnsi="Times New Roman" w:cs="Times New Roman"/>
          <w:sz w:val="24"/>
          <w:szCs w:val="20"/>
        </w:rPr>
        <w:t xml:space="preserve"> As saponinas possuem propriedades surfactantes e detergentes, também são capazes de se complexarem com os sais biliares e desempenham efeito citotóxico sobre células tumorais [29,30]. 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alcaloides geralmente são produzidos por bactérias, fungos e plantas. Existe uma variedade de efeitos farmacológicos atribuídos a eles, alguns dos quais, relacionados à proteção contra predadores e na pigmentação das flores </w:t>
      </w:r>
      <w:r w:rsidRPr="006926AA">
        <w:rPr>
          <w:rFonts w:ascii="Times New Roman" w:eastAsia="Calibri" w:hAnsi="Times New Roman" w:cs="Times New Roman"/>
          <w:sz w:val="24"/>
          <w:szCs w:val="20"/>
        </w:rPr>
        <w:t>[31].</w:t>
      </w: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3.2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Bioensaio</w:t>
      </w:r>
      <w:proofErr w:type="spellEnd"/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com 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>Artemia salina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26AA" w:rsidRPr="006926AA" w:rsidRDefault="006926AA" w:rsidP="00692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O teste de citotoxicidade aguda frente o microcrustáceo </w:t>
      </w:r>
      <w:r w:rsidRPr="006926AA">
        <w:rPr>
          <w:rFonts w:ascii="Times New Roman" w:eastAsia="Calibri" w:hAnsi="Times New Roman" w:cs="Times New Roman"/>
          <w:i/>
          <w:sz w:val="24"/>
          <w:szCs w:val="24"/>
        </w:rPr>
        <w:t xml:space="preserve">A. salina 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foi utilizado por diversos estudos para a determinação da mortalidade. Os resultados correspondem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analise toxicológica sobre os náuplios, conforme evidencia a tabela 2.</w:t>
      </w:r>
    </w:p>
    <w:p w:rsidR="006926AA" w:rsidRPr="006926AA" w:rsidRDefault="006926AA" w:rsidP="00692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6AA" w:rsidRPr="006926AA" w:rsidRDefault="006926AA" w:rsidP="006926AA">
      <w:pPr>
        <w:spacing w:before="60"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6926A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6926AA">
        <w:rPr>
          <w:rFonts w:ascii="Times New Roman" w:eastAsia="Calibri" w:hAnsi="Times New Roman" w:cs="Times New Roman"/>
          <w:b/>
          <w:iCs/>
          <w:sz w:val="20"/>
          <w:szCs w:val="20"/>
        </w:rPr>
        <w:t>TABELA 2</w:t>
      </w:r>
      <w:r w:rsidRPr="006926AA">
        <w:rPr>
          <w:rFonts w:ascii="Times New Roman" w:eastAsia="Calibri" w:hAnsi="Times New Roman" w:cs="Times New Roman"/>
          <w:iCs/>
          <w:sz w:val="20"/>
          <w:szCs w:val="20"/>
        </w:rPr>
        <w:t xml:space="preserve">. </w:t>
      </w:r>
      <w:r w:rsidRPr="006926AA">
        <w:rPr>
          <w:rFonts w:ascii="Times New Roman" w:eastAsia="Calibri" w:hAnsi="Times New Roman" w:cs="Times New Roman"/>
          <w:iCs/>
          <w:sz w:val="24"/>
          <w:szCs w:val="24"/>
        </w:rPr>
        <w:t>Apresenta a distribuição da frequência dos óbitos em função do logaritmo e das concentrações</w:t>
      </w:r>
    </w:p>
    <w:tbl>
      <w:tblPr>
        <w:tblStyle w:val="Tabelacomgrade1"/>
        <w:tblpPr w:leftFromText="141" w:rightFromText="141" w:vertAnchor="text" w:horzAnchor="margin" w:tblpY="66"/>
        <w:tblW w:w="49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992"/>
        <w:gridCol w:w="1091"/>
        <w:gridCol w:w="1091"/>
        <w:gridCol w:w="1091"/>
        <w:gridCol w:w="1091"/>
        <w:gridCol w:w="1091"/>
        <w:gridCol w:w="394"/>
      </w:tblGrid>
      <w:tr w:rsidR="006926AA" w:rsidRPr="006926AA" w:rsidTr="00394D4D">
        <w:trPr>
          <w:trHeight w:val="563"/>
        </w:trPr>
        <w:tc>
          <w:tcPr>
            <w:tcW w:w="9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Log </w:t>
            </w:r>
            <w:proofErr w:type="gramStart"/>
            <w:r w:rsidRPr="00692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[  </w:t>
            </w:r>
            <w:proofErr w:type="gramEnd"/>
            <w:r w:rsidRPr="00692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]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CN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1,45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1,14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0,75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0,45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0,14</w:t>
            </w:r>
          </w:p>
        </w:tc>
        <w:tc>
          <w:tcPr>
            <w:tcW w:w="2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6926AA" w:rsidRPr="006926AA" w:rsidTr="00394D4D">
        <w:trPr>
          <w:trHeight w:val="346"/>
        </w:trPr>
        <w:tc>
          <w:tcPr>
            <w:tcW w:w="96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T1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926AA" w:rsidRPr="006926AA" w:rsidTr="00394D4D">
        <w:trPr>
          <w:trHeight w:val="368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926AA" w:rsidRPr="006926AA" w:rsidTr="00394D4D">
        <w:trPr>
          <w:trHeight w:val="368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926AA" w:rsidRPr="006926AA" w:rsidTr="00394D4D">
        <w:trPr>
          <w:trHeight w:val="268"/>
        </w:trPr>
        <w:tc>
          <w:tcPr>
            <w:tcW w:w="9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% M</w:t>
            </w:r>
          </w:p>
        </w:tc>
        <w:tc>
          <w:tcPr>
            <w:tcW w:w="58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93,4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26AA" w:rsidRPr="006926AA" w:rsidRDefault="006926AA" w:rsidP="00692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6926AA" w:rsidRPr="006926AA" w:rsidRDefault="006926AA" w:rsidP="006926AA">
      <w:pPr>
        <w:spacing w:after="0" w:line="360" w:lineRule="auto"/>
        <w:rPr>
          <w:rFonts w:ascii="Times New Roman" w:eastAsia="Calibri" w:hAnsi="Times New Roman" w:cs="Times New Roman"/>
          <w:sz w:val="20"/>
          <w:szCs w:val="24"/>
        </w:rPr>
      </w:pPr>
      <w:r w:rsidRPr="006926AA">
        <w:rPr>
          <w:rFonts w:ascii="Times New Roman" w:eastAsia="Calibri" w:hAnsi="Times New Roman" w:cs="Times New Roman"/>
          <w:b/>
          <w:sz w:val="20"/>
          <w:szCs w:val="24"/>
        </w:rPr>
        <w:t>Legenda:</w:t>
      </w:r>
      <w:r w:rsidRPr="006926AA">
        <w:rPr>
          <w:rFonts w:ascii="Times New Roman" w:eastAsia="Calibri" w:hAnsi="Times New Roman" w:cs="Times New Roman"/>
          <w:sz w:val="20"/>
          <w:szCs w:val="24"/>
        </w:rPr>
        <w:t xml:space="preserve"> Log </w:t>
      </w:r>
      <w:proofErr w:type="gramStart"/>
      <w:r w:rsidRPr="006926AA">
        <w:rPr>
          <w:rFonts w:ascii="Times New Roman" w:eastAsia="Calibri" w:hAnsi="Times New Roman" w:cs="Times New Roman"/>
          <w:sz w:val="20"/>
          <w:szCs w:val="24"/>
        </w:rPr>
        <w:t xml:space="preserve">[  </w:t>
      </w:r>
      <w:proofErr w:type="gramEnd"/>
      <w:r w:rsidRPr="006926AA">
        <w:rPr>
          <w:rFonts w:ascii="Times New Roman" w:eastAsia="Calibri" w:hAnsi="Times New Roman" w:cs="Times New Roman"/>
          <w:sz w:val="20"/>
          <w:szCs w:val="24"/>
        </w:rPr>
        <w:t>] = logaritmo das concentrações, CN = controle negativo, T1 = tratamento 1 T2 = tratamento 2, T3 = tratamento 3 %M = percentual de mortalidade.</w:t>
      </w:r>
    </w:p>
    <w:p w:rsidR="006926AA" w:rsidRPr="006926AA" w:rsidRDefault="006926AA" w:rsidP="006926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26A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A0B9600" wp14:editId="49862D6E">
            <wp:extent cx="5743575" cy="279082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6926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FIGURA 1</w:t>
      </w:r>
      <w:r w:rsidRPr="006926A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Regressão linear do percentual de mortalidade em função do logaritmo das concentrações.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meio da determinação da equação da reta, a DL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t-BR"/>
        </w:rPr>
        <w:t>50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calculada foi igual </w:t>
      </w:r>
      <w:proofErr w:type="gram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proofErr w:type="gram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8012 µg/mL, sendo considerada como atóxica ou sem atividade. Também não foram encontrados na literatura científica resultados que relatem a DL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t-BR"/>
        </w:rPr>
        <w:t>50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extratos de quaisquer partes da planta utilizando a técnica de </w:t>
      </w:r>
      <w:r w:rsidRPr="006926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A. salina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fins de comparação.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26AA" w:rsidRPr="006926AA" w:rsidRDefault="006926AA" w:rsidP="006926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 Atividade</w:t>
      </w:r>
      <w:proofErr w:type="gram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antibacteriana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metabólitos secundários apresentam atividade antibacteriana podendo ocorrer por diferentes mecanismos de ação, como, por exemplo, os flavonoides podem ocasionar fragmentação nuclear e condensação da cromatina devido ao bloqueio da enzima tirosina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quinase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desencadeando o processo de apoptose celular [34]. As saponinas possuem comportamento anfifílico nas membranas celulares bacterianas e como </w:t>
      </w:r>
      <w:proofErr w:type="gram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consequência causam</w:t>
      </w:r>
      <w:proofErr w:type="gram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desequilíbrio osmótico [35]. Os taninos, por sua vez, formam </w:t>
      </w:r>
      <w:proofErr w:type="gram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complexo com proteínas</w:t>
      </w:r>
      <w:proofErr w:type="gram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bloqueiam a síntese das mesmas, além de diminuírem a disponibilidade de íons essenciais para o metabolismo bacteriano [36].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Embora tenha sido </w:t>
      </w:r>
      <w:proofErr w:type="gram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confirmado a presença de flavonoides, taninos, saponinas e alcalóides</w:t>
      </w:r>
      <w:proofErr w:type="gram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extrato da </w:t>
      </w:r>
      <w:proofErr w:type="spellStart"/>
      <w:r w:rsidRPr="006926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Apodanthera</w:t>
      </w:r>
      <w:proofErr w:type="spellEnd"/>
      <w:r w:rsidRPr="006926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Smilacifolia</w:t>
      </w:r>
      <w:proofErr w:type="spellEnd"/>
      <w:r w:rsidRPr="006926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Cong</w:t>
      </w:r>
      <w:proofErr w:type="spell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 mesmo não apresentou atividade antibacteriana. Este resultado pode ser devido à quantidade de metabólitos secundários no EM, visto, que a prospecção fitoquímica foi uma analise de caráter qualitativa, dose dependência. O controle positivo para </w:t>
      </w:r>
      <w:r w:rsidRPr="006926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E. </w:t>
      </w:r>
      <w:proofErr w:type="gramStart"/>
      <w:r w:rsidRPr="006926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coli</w:t>
      </w:r>
      <w:proofErr w:type="gramEnd"/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apresentou halo de 34,6 ± 2 mm, e para </w:t>
      </w:r>
      <w:r w:rsidRPr="006926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S. aureus </w:t>
      </w:r>
      <w:r w:rsidRPr="00692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 de 24 ± 3, não verificou-se halo de inibição no controle negativo.</w:t>
      </w:r>
    </w:p>
    <w:p w:rsidR="006926AA" w:rsidRPr="006926AA" w:rsidRDefault="006926AA" w:rsidP="006926A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Não foram encontrados estudos relacionados à </w:t>
      </w:r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A. </w:t>
      </w:r>
      <w:proofErr w:type="spellStart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smilacifolia</w:t>
      </w:r>
      <w:proofErr w:type="spellEnd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Cong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nem à família das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Curcubitaceae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6926AA">
        <w:rPr>
          <w:rFonts w:ascii="Times New Roman" w:eastAsia="Calibri" w:hAnsi="Times New Roman" w:cs="Times New Roman"/>
          <w:sz w:val="24"/>
          <w:szCs w:val="24"/>
        </w:rPr>
        <w:t>portanto, não foi possível comparar os resultados encontrados no presente trabalho que abordou a prospecção fitoquímica, citotoxicidade aguda e atividade antibacteriana.</w:t>
      </w:r>
    </w:p>
    <w:p w:rsidR="006926AA" w:rsidRPr="006926AA" w:rsidRDefault="006926AA" w:rsidP="006926A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0"/>
          <w:highlight w:val="yellow"/>
        </w:rPr>
      </w:pPr>
    </w:p>
    <w:p w:rsidR="006926AA" w:rsidRPr="006926AA" w:rsidRDefault="006926AA" w:rsidP="006926AA">
      <w:pPr>
        <w:keepNext/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</w:pPr>
      <w:bookmarkStart w:id="3" w:name="_Toc529544844"/>
      <w:r w:rsidRPr="006926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>4. CONSIDERAÇÕES FINAIS</w:t>
      </w:r>
      <w:bookmarkEnd w:id="3"/>
    </w:p>
    <w:p w:rsidR="006926AA" w:rsidRPr="006926AA" w:rsidRDefault="006926AA" w:rsidP="00692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 extrato aquoso de cascas de </w:t>
      </w:r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A. </w:t>
      </w:r>
      <w:proofErr w:type="spellStart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smilacifolia</w:t>
      </w:r>
      <w:proofErr w:type="spellEnd"/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Cong</w:t>
      </w:r>
      <w:proofErr w:type="spellEnd"/>
      <w:r w:rsidRPr="006926A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foi identificado alcalóides, flavonoides, taninos e saponinas. A Análise da citotoxicidade aguda demostrou a ausência de toxicidade mediante as concentrações dos EA avaliados. A fração do extrato metanólico não apresentou atividade antibacteriana.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26A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Ressalta-se, portanto, a importância de ensaios </w:t>
      </w:r>
      <w:r w:rsidRPr="006926A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in vitro</w:t>
      </w:r>
      <w:r w:rsidRPr="006926A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 </w:t>
      </w:r>
      <w:r w:rsidRPr="006926A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in vivo </w:t>
      </w:r>
      <w:r w:rsidRPr="006926A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para se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investigar o potencial biológico</w:t>
      </w:r>
      <w:r w:rsidRPr="006926A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 considerando diferentes solventes, métodos e concentrações do extrato. Pois é essencial considerar o uso racional das plantas medicinais e dos produtos fitoterápicos no contexto das práticas e de promoção à saúde e bem estar.</w:t>
      </w:r>
    </w:p>
    <w:p w:rsidR="006926AA" w:rsidRPr="006926AA" w:rsidRDefault="006926AA" w:rsidP="006926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6926AA" w:rsidRPr="006926AA" w:rsidRDefault="006926AA" w:rsidP="006926AA">
      <w:pPr>
        <w:keepNext/>
        <w:shd w:val="clear" w:color="auto" w:fill="FFFFFF"/>
        <w:spacing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</w:pPr>
      <w:bookmarkStart w:id="4" w:name="_Toc529544846"/>
      <w:r w:rsidRPr="006926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>5. REFÊRENCIAS</w:t>
      </w:r>
      <w:bookmarkEnd w:id="4"/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VIEGAS JR, Cláudio; BOLZANI,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Vanderlan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da Silva; BARREIRO, Eliezer J. Os produtos naturais e a química medicinal moderna. </w:t>
      </w:r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Química Nova</w:t>
      </w: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p. 326-337, 2006.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NETO, F. R. G.; ALMEIDA, G. S. S. A.; JESUS, N. G.; FONSECA, M. R. Estudo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etnobotânico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de plantas medicinais utilizadas pela Comunidade do Sisal no município de Catu, Bahia, Brasil. </w:t>
      </w:r>
      <w:r w:rsidRPr="006926AA">
        <w:rPr>
          <w:rFonts w:ascii="Times New Roman" w:eastAsia="Calibri" w:hAnsi="Times New Roman" w:cs="Times New Roman"/>
          <w:i/>
          <w:iCs/>
          <w:sz w:val="24"/>
          <w:szCs w:val="24"/>
        </w:rPr>
        <w:t>Revista Brasileira de Plantas Medicinais</w:t>
      </w:r>
      <w:r w:rsidRPr="006926AA">
        <w:rPr>
          <w:rFonts w:ascii="Times New Roman" w:eastAsia="Calibri" w:hAnsi="Times New Roman" w:cs="Times New Roman"/>
          <w:sz w:val="24"/>
          <w:szCs w:val="24"/>
        </w:rPr>
        <w:t>, v.16, n.4, p.856-865, Botucatu, 2014.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OLIVEIRA, D. M. S.; LUCENA, E. M. P. O uso de plantas medicinais por moradores de Quixadá–Ceará. </w:t>
      </w:r>
      <w:r w:rsidRPr="006926AA">
        <w:rPr>
          <w:rFonts w:ascii="Times New Roman" w:eastAsia="Calibri" w:hAnsi="Times New Roman" w:cs="Times New Roman"/>
          <w:i/>
          <w:iCs/>
          <w:sz w:val="24"/>
          <w:szCs w:val="24"/>
        </w:rPr>
        <w:t>Revista Brasileira de Plantas Medicinais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v.17, n.3, p.407-412, Botucatu,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2015</w:t>
      </w:r>
      <w:proofErr w:type="gramEnd"/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RAMALHO, L S. Informações sobre medicamentos fitoterápicos: análise de bulas e propagandas em revistas populares. </w:t>
      </w:r>
      <w:proofErr w:type="spellStart"/>
      <w:proofErr w:type="gram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ix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117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f., il. Dissertação (Mestrado em Ciências da Saúde)—Universidade de Brasília, Brasília, 2012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bCs/>
          <w:sz w:val="24"/>
          <w:szCs w:val="24"/>
        </w:rPr>
        <w:t xml:space="preserve">FRANCA IX, SOUZA JA, BAPTISTA RS, BRITTO. Virgínia 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</w:rPr>
        <w:t>Rossana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</w:rPr>
        <w:t xml:space="preserve"> de Sousa. Medicina popular: benefícios e malefícios das plantas medicinais. Revista Brasileira de Enfermagem. 2008, vol.61, n.2, pp.201-208.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SILVEIRA, PF; BANDEIRA, Mary Anne Medeiros 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</w:rPr>
        <w:t xml:space="preserve"> ARRAIS, Paulo Sérgio Dourado. 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</w:rPr>
        <w:t>Farmacovigilância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</w:rPr>
        <w:t xml:space="preserve"> e reações adversas às </w:t>
      </w:r>
      <w:proofErr w:type="gramStart"/>
      <w:r w:rsidRPr="006926AA">
        <w:rPr>
          <w:rFonts w:ascii="Times New Roman" w:eastAsia="Calibri" w:hAnsi="Times New Roman" w:cs="Times New Roman"/>
          <w:bCs/>
          <w:sz w:val="24"/>
          <w:szCs w:val="24"/>
        </w:rPr>
        <w:t>plantas medicinais e fitoterápicos</w:t>
      </w:r>
      <w:proofErr w:type="gramEnd"/>
      <w:r w:rsidRPr="006926AA">
        <w:rPr>
          <w:rFonts w:ascii="Times New Roman" w:eastAsia="Calibri" w:hAnsi="Times New Roman" w:cs="Times New Roman"/>
          <w:bCs/>
          <w:sz w:val="24"/>
          <w:szCs w:val="24"/>
        </w:rPr>
        <w:t xml:space="preserve">: uma realidade. Rev. Bras. 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</w:rPr>
        <w:t>Farmacogn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</w:rPr>
        <w:t xml:space="preserve">. 2008, vol.18, n.4, pp.618-626. 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BALUNAS, M. J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&amp; KINGHORN, A. D. (2005).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Drug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discovery</w:t>
      </w:r>
      <w:proofErr w:type="spellEnd"/>
      <w:proofErr w:type="gram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medicinal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plants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 </w:t>
      </w:r>
      <w:r w:rsidRPr="006926A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Life </w:t>
      </w:r>
      <w:proofErr w:type="spellStart"/>
      <w:r w:rsidRPr="006926A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sciences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</w:t>
      </w:r>
      <w:r w:rsidRPr="006926A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78</w:t>
      </w: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(5), 431-441.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LEWINSOHN, THOMAS M.,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Paulo I. Prado. "Quantas espécies há no Brasil." </w:t>
      </w:r>
      <w:proofErr w:type="spellStart"/>
      <w:r w:rsidRPr="006926A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Megadiversidade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1.1 (2005): 36-42.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BERG, J. M. T. e LUBERT, J, Bioquímica​.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6.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>Ed. Rio de Janeiro: Guanabara Koogan, 545p. (2008)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JUDD, W. S., CAMPBELL, C. S., KELLOGG, E. A., STEVENS, P. F., &amp; DONOGHUE, M. J. </w:t>
      </w:r>
      <w:r w:rsidRPr="006926A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Sistemática Vegetal-: Um Enfoque Filogenético</w:t>
      </w: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Artmed Editora. (2009)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SCHAEFER, HANNO; RENNER, S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Phylogenetic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relationships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order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Cucurbitales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 new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classification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gourd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family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Cucurbitaceae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). 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Taxon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v. 60, n. 1, p. 122-138, 2011.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HALL, CLIMBIÊ FERREIRA; KLEIN, VERA LÚCIA GOMES; BARROS, FÁBIO DE. ORCHIDACEAE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Caldas Novas,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state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Goiás,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Brazil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Rodriguésia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v. 64, n. 4, p. 685-704, 2013.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VALENTE,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LIGIA MARIA MARINO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Cucurbitacins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their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main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structural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characteristics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 </w:t>
      </w:r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Química Nova</w:t>
      </w: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v. 27, n. 6, p. 944-948, 2004.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BESSA, NGF de </w:t>
      </w:r>
      <w:proofErr w:type="gramStart"/>
      <w:r w:rsidRPr="006926A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et</w:t>
      </w:r>
      <w:proofErr w:type="gramEnd"/>
      <w:r w:rsidRPr="006926A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al. Prospecção fitoquímica preliminar de plantas nativas do cerrado de uso popular medicinal pela comunidade rural do assentamento vale verde–Tocantins. </w:t>
      </w:r>
      <w:r w:rsidRPr="006926AA">
        <w:rPr>
          <w:rFonts w:ascii="Times New Roman" w:eastAsia="Calibri" w:hAnsi="Times New Roman" w:cs="Times New Roman"/>
          <w:bCs/>
          <w:color w:val="222222"/>
          <w:sz w:val="24"/>
          <w:szCs w:val="24"/>
          <w:shd w:val="clear" w:color="auto" w:fill="FFFFFF"/>
        </w:rPr>
        <w:t>Revista Brasileira de Plantas Medicinais</w:t>
      </w:r>
      <w:r w:rsidRPr="006926A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 v. 15, n. 4, p. 692-707, 2013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BRASIL. ANVISA. Ministério da Saúde. Secretaria de Vigilância Sanitária. Portaria da SVS n. 519 de 26 de junho de 1998. Regulamento técnico para fixação de identidade e qualidade de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chás-plantas destinadas à preparação de infusões ou decocções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Diário Oficial da União, Brasília, DF, 29 de jun.,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1998</w:t>
      </w:r>
      <w:proofErr w:type="gramEnd"/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RADI, P. A.; TERRONES, M. G. H. Metabólitos secundários de plantas medicinais. Revista Brasileira de Farmácia, v.20, n.2, p.18-22,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2007</w:t>
      </w:r>
      <w:proofErr w:type="gramEnd"/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WAGNER, HILDEBERT; BLADT,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Sabine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Plant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drug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analysis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: a 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thin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layer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chromatography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atlas</w:t>
      </w: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Springer Science &amp; Business Media, 1996.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PAECH, K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.;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TRACEY, M. V.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Modern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Methods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Plant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Analysis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Vol. III. 1955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PEREIRA RJ, CARDOSO MG. Metabólitos secundários vegetais e benefícios antioxidantes. J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Biotec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Biodivers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2012; 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(4): 146-152.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RAJEH, M. A. B.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et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al.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Acute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toxicity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impacts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Euphorbia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hirta L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extract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behavior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organs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bo</w:t>
      </w:r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>dy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weight index and histopathology of organs of the mice and Artemia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>salina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>Pharmacognosy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Research, v.4, n.3, p.170-177, 2012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WHO, WORLD HEALTH ORGANIZATION. MARINI-BETOLLO, G. B.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Preliminary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chemical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screening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medicinal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plants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field</w:t>
      </w:r>
      <w:proofErr w:type="spellEnd"/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condiditions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Roma: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>DPM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, 1980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TRAVAUX. Pratiques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Pharmacognosie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Tolouse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Université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Tolouse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, 1982. 111p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SHINODA, J. A. new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biologically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active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flavone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glycoside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from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roots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Cassia fistula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Linn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Journal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Pharmaceutical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Society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Japan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v.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48, p. 214-20, 1928.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>MEYER, B. M.; FERRIGNI, N. R.; PUTNAM, J. E</w:t>
      </w:r>
      <w:proofErr w:type="gramStart"/>
      <w:r w:rsidRPr="006926AA">
        <w:rPr>
          <w:rFonts w:ascii="Times New Roman" w:eastAsia="Calibri" w:hAnsi="Times New Roman" w:cs="Times New Roman"/>
          <w:sz w:val="24"/>
          <w:szCs w:val="24"/>
        </w:rPr>
        <w:t>.;</w:t>
      </w:r>
      <w:proofErr w:type="gram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JACOBSEN, L. B.; NICHOLS, D.E.; MCLAUGHLIN, J. L.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Brine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shrimp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: A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convenient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general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bioassay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active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plant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constituents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Journal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Medical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Plant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, v. 45, n.1, p. 31-34, USA, 1982.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MONTEIRO JM, ALBUQUERQUE UO, ARAUJO EL. Taninos: uma abordagem da química à ecologia.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Quím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Nova. 2005; 28 (5): 892-896. ISSN: 0100-4042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AMORIM ELC, et al. Simple and accurate procedure for determination of tannin and flavonoid levels and some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>aplications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>ethnobotany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>ethnopharmacology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>. Functional Ecology, v.2, p. 88-94, 2008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LIMA, F.O.; BEZERRA, A.S.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Flavonóides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e radicais livres.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Disciplinarum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sz w:val="24"/>
          <w:szCs w:val="24"/>
        </w:rPr>
        <w:t>Scientia</w:t>
      </w:r>
      <w:proofErr w:type="spellEnd"/>
      <w:r w:rsidRPr="006926AA">
        <w:rPr>
          <w:rFonts w:ascii="Times New Roman" w:eastAsia="Calibri" w:hAnsi="Times New Roman" w:cs="Times New Roman"/>
          <w:sz w:val="24"/>
          <w:szCs w:val="24"/>
        </w:rPr>
        <w:t>, v.13, n.1, p.111-124, 2012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MONTEIRO JM, ALBUQUERQUE UO, ARAUJO EL. Taninos: uma abordagem da química à ecologia.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Quím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Nova. 2005; 28 (5): 892-896. ISSN: 0100-4042. 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CUNHA Al, MOURA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KS, BARBOSA JC, SANTOS AF. Os metabólitos secundários e sua importância para o organismo. </w:t>
      </w:r>
      <w:proofErr w:type="spellStart"/>
      <w:r w:rsidRPr="006926A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Diversitas</w:t>
      </w:r>
      <w:proofErr w:type="spellEnd"/>
      <w:r w:rsidRPr="006926A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J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2016; 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(2): 175-181. 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CARVALHO CA, MATTA SLP, MELO FCS, ANDRADE DCF, CARVALHO LM, NASCIMENTO PC, SILVA MB, ROSA MB. Cipó-cravo (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Tynnanthus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fasciculatusMiers</w:t>
      </w:r>
      <w:proofErr w:type="spellEnd"/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Bignoniaceae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): estudo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fitoquímico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toxicológico envolvendo Artemia salina. Rev. Eletrônica Farm. 2009; 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(1): 51-57. 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BRUHN JG, LUNDSTRÖM J. Alkaloids of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carnegiea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gigantea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Arizonine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 new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tetrahydroisoquinoline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alkaloid.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Lloydia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1976 Jul-Aug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;39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(4):197-203.</w:t>
      </w:r>
    </w:p>
    <w:p w:rsidR="006926AA" w:rsidRPr="006926AA" w:rsidRDefault="006926AA" w:rsidP="006926AA">
      <w:p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26A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BARCELOS IB,</w:t>
      </w: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926AA">
        <w:rPr>
          <w:rFonts w:ascii="Times New Roman" w:eastAsia="Calibri" w:hAnsi="Times New Roman" w:cs="Times New Roman"/>
          <w:i/>
          <w:sz w:val="24"/>
          <w:szCs w:val="24"/>
        </w:rPr>
        <w:t>et</w:t>
      </w:r>
      <w:proofErr w:type="gramEnd"/>
      <w:r w:rsidRPr="006926AA">
        <w:rPr>
          <w:rFonts w:ascii="Times New Roman" w:eastAsia="Calibri" w:hAnsi="Times New Roman" w:cs="Times New Roman"/>
          <w:i/>
          <w:sz w:val="24"/>
          <w:szCs w:val="24"/>
        </w:rPr>
        <w:t xml:space="preserve"> al</w:t>
      </w:r>
      <w:r w:rsidRPr="006926AA">
        <w:rPr>
          <w:rFonts w:ascii="Times New Roman" w:eastAsia="Calibri" w:hAnsi="Times New Roman" w:cs="Times New Roman"/>
          <w:sz w:val="24"/>
          <w:szCs w:val="24"/>
        </w:rPr>
        <w:t>.</w:t>
      </w:r>
      <w:r w:rsidRPr="006926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926AA">
        <w:rPr>
          <w:rFonts w:ascii="Times New Roman" w:eastAsia="Calibri" w:hAnsi="Times New Roman" w:cs="Times New Roman"/>
          <w:bCs/>
          <w:sz w:val="24"/>
          <w:szCs w:val="24"/>
        </w:rPr>
        <w:t xml:space="preserve">Análise fitoquímica e das atividades citotóxica, antioxidante, e antibacteriana das flores de </w:t>
      </w:r>
      <w:r w:rsidRPr="006926A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Tabebuia </w:t>
      </w:r>
      <w:proofErr w:type="spellStart"/>
      <w:r w:rsidRPr="006926AA">
        <w:rPr>
          <w:rFonts w:ascii="Times New Roman" w:eastAsia="Calibri" w:hAnsi="Times New Roman" w:cs="Times New Roman"/>
          <w:bCs/>
          <w:i/>
          <w:sz w:val="24"/>
          <w:szCs w:val="24"/>
        </w:rPr>
        <w:t>serratifolia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6926AA">
        <w:rPr>
          <w:rFonts w:ascii="Times New Roman" w:eastAsia="Calibri" w:hAnsi="Times New Roman" w:cs="Times New Roman"/>
          <w:bCs/>
          <w:sz w:val="24"/>
          <w:szCs w:val="24"/>
        </w:rPr>
        <w:t>Vahl</w:t>
      </w:r>
      <w:proofErr w:type="spellEnd"/>
      <w:r w:rsidRPr="006926AA">
        <w:rPr>
          <w:rFonts w:ascii="Times New Roman" w:eastAsia="Calibri" w:hAnsi="Times New Roman" w:cs="Times New Roman"/>
          <w:bCs/>
          <w:sz w:val="24"/>
          <w:szCs w:val="24"/>
        </w:rPr>
        <w:t>) Nicholson.</w:t>
      </w:r>
      <w:r w:rsidRPr="006926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926AA">
        <w:rPr>
          <w:rFonts w:ascii="Times New Roman" w:eastAsia="Calibri" w:hAnsi="Times New Roman" w:cs="Times New Roman"/>
          <w:bCs/>
          <w:sz w:val="24"/>
          <w:szCs w:val="24"/>
        </w:rPr>
        <w:t>Revista fitos</w:t>
      </w:r>
      <w:proofErr w:type="gramEnd"/>
      <w:r w:rsidRPr="006926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6926AA">
        <w:rPr>
          <w:rFonts w:ascii="Times New Roman" w:eastAsia="Calibri" w:hAnsi="Times New Roman" w:cs="Times New Roman"/>
          <w:bCs/>
          <w:sz w:val="24"/>
          <w:szCs w:val="24"/>
        </w:rPr>
        <w:t>2017, vol.11, n.1, pp.1-118.</w:t>
      </w:r>
      <w:r w:rsidRPr="006926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6926AA" w:rsidRPr="006926AA" w:rsidRDefault="006926AA" w:rsidP="006926AA">
      <w:pPr>
        <w:spacing w:after="0" w:line="360" w:lineRule="auto"/>
        <w:ind w:left="284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BONA, E. A. M. 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et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al. Comparação de métodos para avaliação da atividade antimicrobiana e determinação da concentração inibitória mínima (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cim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 de extratos vegetais aquosos e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etanólicos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926A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Arquivos do Instituto Biológico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v. 81, n. 3, p. 218-225, 2014.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CARVALHO OV, OLIVEIRA FS, SARAIVA GL, BOTELHO CV, Ferreira HCC, Santos MR, Silva Junior A, Almeida MR.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Potencial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antiviral da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quercetina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sobre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o parvovirus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canino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Arq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Bras, Med. Vet. </w:t>
      </w:r>
      <w:proofErr w:type="spellStart"/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Zootec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,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Belo Horizonte, vol,65, nº 2, 2013.</w:t>
      </w:r>
    </w:p>
    <w:p w:rsidR="006926AA" w:rsidRPr="006926AA" w:rsidRDefault="006926AA" w:rsidP="006926AA">
      <w:pPr>
        <w:spacing w:after="160" w:line="360" w:lineRule="auto"/>
        <w:ind w:left="284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CARMINATE B, CARVALHO AC, PACHECO TF, NATALI VD, SILVA MB.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Investigação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Antibacteriana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926A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in vitro </w:t>
      </w:r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de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extratos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etanólicos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das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folhas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cascas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CedrelafissilisVell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Ciências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Natura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Santa Maria, v. 36 Ed. Especial, p. 335-340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,2014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Pereira AV,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Azevêdo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TKB, Santos HSS, Santana GM,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Trevisan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LFA,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Azevedo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SS, Pereira MV, Paula AFR.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Taninos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casca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cajueiro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atividade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antimicrobiana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Agropecuária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Técnica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2015; 35(1); 121-7.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SANTOS DS, RODRIGUES MMF.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Atividades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farmacológicas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dos flavonoids: um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estudo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revisão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UNIFAP.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Macapá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v.7, n.3, p29-35, 2017.</w:t>
      </w:r>
    </w:p>
    <w:p w:rsidR="006926AA" w:rsidRPr="006926AA" w:rsidRDefault="006926AA" w:rsidP="006926AA">
      <w:pPr>
        <w:numPr>
          <w:ilvl w:val="0"/>
          <w:numId w:val="1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HOLETZ FB, PESSINI GL, SANCHES NR, CORTEZ DAG, NAKAMURA CV, DIAS FILHO BP.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Screening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of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some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plants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used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the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Brazilian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folk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medicine for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the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treatment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of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infectious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diseases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Memórias do Instituto Oswaldo Cruz, v. 97, n. 7, p. 1027-1031, 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2002</w:t>
      </w:r>
      <w:proofErr w:type="gramEnd"/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sz w:val="24"/>
          <w:szCs w:val="24"/>
        </w:rPr>
        <w:t xml:space="preserve">SIMÕES CMO, SCHENKEL EP, GOSMAN G, MELLO JCP, MENTZ LA, PETROVICK PR. Farmacognosia: da planta ao medicamento. Editora da UFSC, 1102p. Florianópolis. </w:t>
      </w:r>
      <w:r w:rsidRPr="006926AA">
        <w:rPr>
          <w:rFonts w:ascii="Times New Roman" w:eastAsia="Calibri" w:hAnsi="Times New Roman" w:cs="Times New Roman"/>
          <w:sz w:val="24"/>
          <w:szCs w:val="24"/>
          <w:lang w:val="en-US"/>
        </w:rPr>
        <w:t>2007.</w:t>
      </w:r>
    </w:p>
    <w:p w:rsidR="006926AA" w:rsidRPr="006926AA" w:rsidRDefault="006926AA" w:rsidP="006926A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</w:rPr>
      </w:pPr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OLIVEIRA NT, ALMEIDA SSMS. Análise fitoquímica, citotóxica e antimicrobiana do extrato bruto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etanólico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folhas da espécie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Ambelania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acida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Aublet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Apocynaceae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Biota </w:t>
      </w:r>
      <w:proofErr w:type="spell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Amazôn</w:t>
      </w:r>
      <w:proofErr w:type="spell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UNIFAP. 2016; </w:t>
      </w:r>
      <w:proofErr w:type="gramStart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proofErr w:type="gramEnd"/>
      <w:r w:rsidRPr="006926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(1): 20-25.</w:t>
      </w:r>
    </w:p>
    <w:p w:rsidR="00817092" w:rsidRPr="00817092" w:rsidRDefault="00817092" w:rsidP="00817092">
      <w:pPr>
        <w:pStyle w:val="PargrafodaLista"/>
        <w:ind w:left="284"/>
        <w:rPr>
          <w:rFonts w:cs="Times New Roman"/>
          <w:color w:val="000000" w:themeColor="text1"/>
          <w:szCs w:val="24"/>
          <w:lang w:val="en-US"/>
        </w:rPr>
      </w:pPr>
    </w:p>
    <w:p w:rsidR="005064E3" w:rsidRDefault="005064E3"/>
    <w:sectPr w:rsidR="005064E3" w:rsidSect="006926A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50915"/>
    <w:multiLevelType w:val="hybridMultilevel"/>
    <w:tmpl w:val="21E80218"/>
    <w:lvl w:ilvl="0" w:tplc="A5FAD42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92"/>
    <w:rsid w:val="005064E3"/>
    <w:rsid w:val="006926AA"/>
    <w:rsid w:val="008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17092"/>
    <w:pPr>
      <w:keepNext/>
      <w:shd w:val="clear" w:color="auto" w:fill="FFFFFF" w:themeFill="background1"/>
      <w:spacing w:after="6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7092"/>
    <w:rPr>
      <w:rFonts w:ascii="Times New Roman" w:eastAsia="Times New Roman" w:hAnsi="Times New Roman" w:cs="Times New Roman"/>
      <w:b/>
      <w:bCs/>
      <w:kern w:val="32"/>
      <w:sz w:val="24"/>
      <w:szCs w:val="24"/>
      <w:shd w:val="clear" w:color="auto" w:fill="FFFFFF" w:themeFill="background1"/>
    </w:rPr>
  </w:style>
  <w:style w:type="paragraph" w:styleId="PargrafodaLista">
    <w:name w:val="List Paragraph"/>
    <w:basedOn w:val="Normal"/>
    <w:uiPriority w:val="34"/>
    <w:qFormat/>
    <w:rsid w:val="00817092"/>
    <w:pPr>
      <w:spacing w:after="16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81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709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17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70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709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092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9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17092"/>
    <w:pPr>
      <w:keepNext/>
      <w:shd w:val="clear" w:color="auto" w:fill="FFFFFF" w:themeFill="background1"/>
      <w:spacing w:after="6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7092"/>
    <w:rPr>
      <w:rFonts w:ascii="Times New Roman" w:eastAsia="Times New Roman" w:hAnsi="Times New Roman" w:cs="Times New Roman"/>
      <w:b/>
      <w:bCs/>
      <w:kern w:val="32"/>
      <w:sz w:val="24"/>
      <w:szCs w:val="24"/>
      <w:shd w:val="clear" w:color="auto" w:fill="FFFFFF" w:themeFill="background1"/>
    </w:rPr>
  </w:style>
  <w:style w:type="paragraph" w:styleId="PargrafodaLista">
    <w:name w:val="List Paragraph"/>
    <w:basedOn w:val="Normal"/>
    <w:uiPriority w:val="34"/>
    <w:qFormat/>
    <w:rsid w:val="00817092"/>
    <w:pPr>
      <w:spacing w:after="16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81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709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17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70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709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092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9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ersonsalvi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aleriaferreirabiomed@hot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mailto:valeriaferreirabiomed@hotmail.co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valer\Desktop\Dado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190646623717489"/>
          <c:y val="0.14450568678915135"/>
          <c:w val="0.81550918635170599"/>
          <c:h val="0.82775444736074655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581808637556669"/>
                  <c:y val="-9.5158275670086695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Plan1!$A$3:$A$7</c:f>
              <c:numCache>
                <c:formatCode>General</c:formatCode>
                <c:ptCount val="5"/>
                <c:pt idx="0">
                  <c:v>1.45</c:v>
                </c:pt>
                <c:pt idx="1">
                  <c:v>1.1399999999999999</c:v>
                </c:pt>
                <c:pt idx="2">
                  <c:v>0.75</c:v>
                </c:pt>
                <c:pt idx="3">
                  <c:v>0.45</c:v>
                </c:pt>
                <c:pt idx="4">
                  <c:v>0.14000000000000001</c:v>
                </c:pt>
              </c:numCache>
            </c:numRef>
          </c:xVal>
          <c:yVal>
            <c:numRef>
              <c:f>Plan1!$B$3:$B$7</c:f>
              <c:numCache>
                <c:formatCode>General</c:formatCode>
                <c:ptCount val="5"/>
                <c:pt idx="0">
                  <c:v>100</c:v>
                </c:pt>
                <c:pt idx="1">
                  <c:v>93.4</c:v>
                </c:pt>
                <c:pt idx="2">
                  <c:v>3.4</c:v>
                </c:pt>
                <c:pt idx="3">
                  <c:v>0</c:v>
                </c:pt>
                <c:pt idx="4">
                  <c:v>3.4</c:v>
                </c:pt>
              </c:numCache>
            </c:numRef>
          </c:y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322521920"/>
        <c:axId val="322522496"/>
      </c:scatterChart>
      <c:valAx>
        <c:axId val="322521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Log [  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22522496"/>
        <c:crosses val="autoZero"/>
        <c:crossBetween val="midCat"/>
      </c:valAx>
      <c:valAx>
        <c:axId val="3225224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 Mortalidade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225219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DE3C-DF02-45B3-A5D3-74104FF2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4453</Words>
  <Characters>24050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Ferreira</dc:creator>
  <cp:lastModifiedBy>Valéria Ferreira</cp:lastModifiedBy>
  <cp:revision>1</cp:revision>
  <dcterms:created xsi:type="dcterms:W3CDTF">2018-12-07T18:58:00Z</dcterms:created>
  <dcterms:modified xsi:type="dcterms:W3CDTF">2018-12-07T19:13:00Z</dcterms:modified>
</cp:coreProperties>
</file>